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color w:val="auto"/>
          <w:sz w:val="36"/>
          <w:szCs w:val="36"/>
        </w:rPr>
      </w:pPr>
      <w:r>
        <w:rPr>
          <w:rFonts w:hint="eastAsia" w:ascii="仿宋_GB2312" w:eastAsia="仿宋_GB2312"/>
          <w:b/>
          <w:color w:val="auto"/>
          <w:sz w:val="36"/>
          <w:szCs w:val="36"/>
        </w:rPr>
        <w:t>金融学院2018年本科学生转专业接收计划及细则</w:t>
      </w:r>
    </w:p>
    <w:p>
      <w:pPr>
        <w:rPr>
          <w:rFonts w:hint="eastAsia" w:ascii="仿宋_GB2312" w:eastAsia="仿宋_GB2312"/>
          <w:color w:val="auto"/>
          <w:sz w:val="28"/>
        </w:rPr>
      </w:pPr>
    </w:p>
    <w:p>
      <w:pPr>
        <w:rPr>
          <w:rFonts w:hint="eastAsia" w:ascii="仿宋_GB2312" w:eastAsia="仿宋_GB2312"/>
          <w:b/>
          <w:color w:val="auto"/>
          <w:sz w:val="28"/>
        </w:rPr>
      </w:pPr>
      <w:r>
        <w:rPr>
          <w:rFonts w:hint="eastAsia" w:ascii="仿宋_GB2312" w:eastAsia="仿宋_GB2312"/>
          <w:b/>
          <w:color w:val="auto"/>
          <w:sz w:val="28"/>
        </w:rPr>
        <w:t>一、接收计划</w:t>
      </w:r>
    </w:p>
    <w:p>
      <w:pPr>
        <w:rPr>
          <w:color w:val="auto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1441"/>
        <w:gridCol w:w="1944"/>
        <w:gridCol w:w="2575"/>
        <w:gridCol w:w="1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</w:tcPr>
          <w:p>
            <w:pPr>
              <w:spacing w:line="360" w:lineRule="auto"/>
              <w:rPr>
                <w:rFonts w:ascii="仿宋_GB2312" w:eastAsia="仿宋_GB2312"/>
                <w:color w:val="auto"/>
                <w:sz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</w:rPr>
              <w:t>接收专业</w:t>
            </w:r>
          </w:p>
        </w:tc>
        <w:tc>
          <w:tcPr>
            <w:tcW w:w="1441" w:type="dxa"/>
          </w:tcPr>
          <w:p>
            <w:pPr>
              <w:spacing w:line="360" w:lineRule="auto"/>
              <w:rPr>
                <w:rFonts w:ascii="仿宋_GB2312" w:eastAsia="仿宋_GB2312"/>
                <w:color w:val="auto"/>
                <w:sz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</w:rPr>
              <w:t>接收年级</w:t>
            </w:r>
          </w:p>
        </w:tc>
        <w:tc>
          <w:tcPr>
            <w:tcW w:w="1944" w:type="dxa"/>
          </w:tcPr>
          <w:p>
            <w:pPr>
              <w:rPr>
                <w:rFonts w:ascii="仿宋_GB2312" w:eastAsia="仿宋_GB2312"/>
                <w:color w:val="auto"/>
                <w:sz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</w:rPr>
              <w:t>接收转入人数</w:t>
            </w:r>
          </w:p>
        </w:tc>
        <w:tc>
          <w:tcPr>
            <w:tcW w:w="2575" w:type="dxa"/>
          </w:tcPr>
          <w:p>
            <w:pPr>
              <w:spacing w:line="360" w:lineRule="auto"/>
              <w:rPr>
                <w:rFonts w:ascii="仿宋_GB2312" w:eastAsia="仿宋_GB2312"/>
                <w:color w:val="auto"/>
                <w:sz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</w:rPr>
              <w:t>接收转入基本条件</w:t>
            </w:r>
          </w:p>
        </w:tc>
        <w:tc>
          <w:tcPr>
            <w:tcW w:w="1157" w:type="dxa"/>
          </w:tcPr>
          <w:p>
            <w:pPr>
              <w:rPr>
                <w:rFonts w:ascii="仿宋_GB2312" w:eastAsia="仿宋_GB2312"/>
                <w:color w:val="auto"/>
                <w:sz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</w:trPr>
        <w:tc>
          <w:tcPr>
            <w:tcW w:w="1411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保险学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2017级</w:t>
            </w:r>
          </w:p>
        </w:tc>
        <w:tc>
          <w:tcPr>
            <w:tcW w:w="1944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5人</w:t>
            </w:r>
          </w:p>
        </w:tc>
        <w:tc>
          <w:tcPr>
            <w:tcW w:w="257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1、在原专业学习期间（第一学期），数学、英语成绩在85分以上（百分制，含85分）。</w:t>
            </w:r>
          </w:p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2、学分绩（ABCDE类课程）专业排名前5 %。</w:t>
            </w:r>
          </w:p>
        </w:tc>
        <w:tc>
          <w:tcPr>
            <w:tcW w:w="1157" w:type="dxa"/>
          </w:tcPr>
          <w:p>
            <w:pPr>
              <w:rPr>
                <w:color w:val="auto"/>
              </w:rPr>
            </w:pP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 w:ascii="仿宋_GB2312" w:eastAsia="仿宋_GB2312"/>
          <w:b/>
          <w:color w:val="auto"/>
          <w:sz w:val="28"/>
        </w:rPr>
      </w:pPr>
      <w:r>
        <w:rPr>
          <w:rFonts w:hint="eastAsia" w:ascii="仿宋_GB2312" w:eastAsia="仿宋_GB2312"/>
          <w:b/>
          <w:color w:val="auto"/>
          <w:sz w:val="28"/>
        </w:rPr>
        <w:t>二、转专业工作细则</w:t>
      </w:r>
    </w:p>
    <w:p>
      <w:pPr>
        <w:rPr>
          <w:rFonts w:hint="eastAsia" w:ascii="仿宋_GB2312" w:eastAsia="仿宋_GB2312"/>
          <w:b/>
          <w:color w:val="auto"/>
          <w:sz w:val="28"/>
        </w:rPr>
      </w:pPr>
      <w:r>
        <w:rPr>
          <w:rFonts w:hint="eastAsia" w:ascii="仿宋_GB2312" w:eastAsia="仿宋_GB2312"/>
          <w:color w:val="auto"/>
          <w:sz w:val="28"/>
        </w:rPr>
        <w:t>（一）接收转入条件</w:t>
      </w:r>
    </w:p>
    <w:p>
      <w:pPr>
        <w:ind w:firstLine="420"/>
        <w:rPr>
          <w:rFonts w:hint="eastAsia" w:ascii="仿宋_GB2312" w:eastAsia="仿宋_GB2312"/>
          <w:b/>
          <w:color w:val="auto"/>
          <w:sz w:val="28"/>
        </w:rPr>
      </w:pPr>
      <w:r>
        <w:rPr>
          <w:rFonts w:hint="eastAsia" w:ascii="宋体" w:hAnsi="宋体"/>
          <w:color w:val="auto"/>
          <w:sz w:val="28"/>
        </w:rPr>
        <w:t>（1）在原专业学习期间（第一学期），数学、英语成绩在85分以上（百分制，含85分）。</w:t>
      </w:r>
    </w:p>
    <w:p>
      <w:pPr>
        <w:ind w:firstLine="420"/>
        <w:rPr>
          <w:rFonts w:hint="eastAsia" w:ascii="仿宋_GB2312" w:eastAsia="仿宋_GB2312"/>
          <w:b/>
          <w:color w:val="auto"/>
          <w:sz w:val="28"/>
        </w:rPr>
      </w:pPr>
      <w:r>
        <w:rPr>
          <w:rFonts w:hint="eastAsia" w:ascii="宋体" w:hAnsi="宋体"/>
          <w:color w:val="auto"/>
          <w:sz w:val="28"/>
        </w:rPr>
        <w:t>（2）学分绩（ABCDE类课程）专</w:t>
      </w:r>
      <w:bookmarkStart w:id="0" w:name="_GoBack"/>
      <w:bookmarkEnd w:id="0"/>
      <w:r>
        <w:rPr>
          <w:rFonts w:hint="eastAsia" w:ascii="宋体" w:hAnsi="宋体"/>
          <w:color w:val="auto"/>
          <w:sz w:val="28"/>
        </w:rPr>
        <w:t>业排名前</w:t>
      </w:r>
      <w:r>
        <w:rPr>
          <w:rFonts w:hint="eastAsia"/>
          <w:color w:val="auto"/>
          <w:sz w:val="28"/>
        </w:rPr>
        <w:t>5 %</w:t>
      </w:r>
      <w:r>
        <w:rPr>
          <w:rFonts w:hint="eastAsia" w:ascii="宋体" w:hAnsi="宋体"/>
          <w:color w:val="auto"/>
          <w:sz w:val="28"/>
        </w:rPr>
        <w:t>。</w:t>
      </w:r>
    </w:p>
    <w:p>
      <w:pPr>
        <w:rPr>
          <w:rFonts w:hint="eastAsia" w:ascii="仿宋_GB2312" w:eastAsia="仿宋_GB2312"/>
          <w:b/>
          <w:color w:val="auto"/>
          <w:sz w:val="28"/>
        </w:rPr>
      </w:pPr>
      <w:r>
        <w:rPr>
          <w:rFonts w:hint="eastAsia" w:ascii="仿宋_GB2312" w:eastAsia="仿宋_GB2312"/>
          <w:color w:val="auto"/>
          <w:sz w:val="28"/>
        </w:rPr>
        <w:t>（二）选拔操作办法</w:t>
      </w:r>
    </w:p>
    <w:p>
      <w:pPr>
        <w:ind w:firstLine="420"/>
        <w:rPr>
          <w:rFonts w:hint="eastAsia" w:ascii="仿宋_GB2312" w:eastAsia="仿宋_GB2312"/>
          <w:b/>
          <w:color w:val="auto"/>
          <w:sz w:val="28"/>
        </w:rPr>
      </w:pPr>
      <w:r>
        <w:rPr>
          <w:rFonts w:hint="eastAsia" w:ascii="宋体" w:hAnsi="宋体"/>
          <w:color w:val="auto"/>
          <w:sz w:val="28"/>
        </w:rPr>
        <w:t>（1）考核内容</w:t>
      </w:r>
    </w:p>
    <w:p>
      <w:pPr>
        <w:ind w:firstLine="420"/>
        <w:rPr>
          <w:rFonts w:hint="eastAsia" w:ascii="仿宋_GB2312" w:eastAsia="仿宋_GB2312"/>
          <w:b/>
          <w:color w:val="auto"/>
          <w:sz w:val="28"/>
        </w:rPr>
      </w:pPr>
      <w:r>
        <w:rPr>
          <w:rFonts w:hint="eastAsia" w:ascii="宋体" w:hAnsi="宋体"/>
          <w:color w:val="auto"/>
          <w:sz w:val="28"/>
        </w:rPr>
        <w:t>笔试：微积分。有关考核具体事宜，另行通知。</w:t>
      </w:r>
    </w:p>
    <w:p>
      <w:pPr>
        <w:ind w:firstLine="420"/>
        <w:rPr>
          <w:rFonts w:hint="eastAsia" w:ascii="仿宋_GB2312" w:eastAsia="仿宋_GB2312"/>
          <w:b/>
          <w:color w:val="auto"/>
          <w:sz w:val="28"/>
        </w:rPr>
      </w:pPr>
      <w:r>
        <w:rPr>
          <w:rFonts w:hint="eastAsia" w:ascii="宋体" w:hAnsi="宋体"/>
          <w:color w:val="auto"/>
          <w:sz w:val="28"/>
        </w:rPr>
        <w:t>（2）录取规则</w:t>
      </w:r>
    </w:p>
    <w:p>
      <w:pPr>
        <w:ind w:firstLine="420"/>
        <w:rPr>
          <w:rFonts w:hint="eastAsia"/>
          <w:color w:val="auto"/>
          <w:sz w:val="28"/>
        </w:rPr>
      </w:pPr>
      <w:r>
        <w:rPr>
          <w:rFonts w:hint="eastAsia"/>
          <w:color w:val="auto"/>
          <w:sz w:val="28"/>
        </w:rPr>
        <w:t>根据保险学专业接收转专业名额，成绩合格者，以成绩排名为序择优录取。</w:t>
      </w:r>
    </w:p>
    <w:p>
      <w:pPr>
        <w:rPr>
          <w:color w:val="auto"/>
        </w:rPr>
      </w:pPr>
    </w:p>
    <w:p>
      <w:pPr>
        <w:rPr>
          <w:rFonts w:hint="eastAsia" w:ascii="仿宋_GB2312" w:eastAsia="仿宋_GB2312"/>
          <w:b/>
          <w:color w:val="auto"/>
          <w:sz w:val="28"/>
        </w:rPr>
      </w:pPr>
      <w:r>
        <w:rPr>
          <w:rFonts w:hint="eastAsia" w:ascii="仿宋_GB2312" w:eastAsia="仿宋_GB2312"/>
          <w:b/>
          <w:color w:val="auto"/>
          <w:sz w:val="28"/>
        </w:rPr>
        <w:t>三、本细则解释权归属</w:t>
      </w:r>
    </w:p>
    <w:p>
      <w:pPr>
        <w:ind w:firstLine="420"/>
        <w:rPr>
          <w:rFonts w:ascii="仿宋_GB2312" w:eastAsia="仿宋_GB2312"/>
          <w:b/>
          <w:color w:val="auto"/>
          <w:sz w:val="28"/>
        </w:rPr>
      </w:pPr>
      <w:r>
        <w:rPr>
          <w:rFonts w:hint="eastAsia"/>
          <w:color w:val="auto"/>
          <w:sz w:val="28"/>
        </w:rPr>
        <w:t>本细则由金融学院负责解释。</w:t>
      </w:r>
    </w:p>
    <w:p>
      <w:pPr>
        <w:ind w:firstLine="560" w:firstLineChars="200"/>
        <w:rPr>
          <w:rFonts w:ascii="仿宋_GB2312" w:eastAsia="仿宋_GB2312"/>
          <w:sz w:val="28"/>
        </w:rPr>
      </w:pPr>
    </w:p>
    <w:p/>
    <w:sectPr>
      <w:pgSz w:w="11906" w:h="16838"/>
      <w:pgMar w:top="1440" w:right="1797" w:bottom="567" w:left="179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37100"/>
    <w:rsid w:val="00272E10"/>
    <w:rsid w:val="00321B25"/>
    <w:rsid w:val="003A5555"/>
    <w:rsid w:val="00434D1F"/>
    <w:rsid w:val="00575D54"/>
    <w:rsid w:val="00DD280B"/>
    <w:rsid w:val="00F10B5E"/>
    <w:rsid w:val="03054D12"/>
    <w:rsid w:val="0ACC6545"/>
    <w:rsid w:val="0C6A1DCF"/>
    <w:rsid w:val="0CFB6FDD"/>
    <w:rsid w:val="0F4C10C1"/>
    <w:rsid w:val="1A18099B"/>
    <w:rsid w:val="1DC35D81"/>
    <w:rsid w:val="206B64DA"/>
    <w:rsid w:val="23872F9E"/>
    <w:rsid w:val="25E066A2"/>
    <w:rsid w:val="2BD3687F"/>
    <w:rsid w:val="2D725F64"/>
    <w:rsid w:val="2EDB7DD4"/>
    <w:rsid w:val="44740226"/>
    <w:rsid w:val="4515271F"/>
    <w:rsid w:val="59717750"/>
    <w:rsid w:val="5B137100"/>
    <w:rsid w:val="5C9458E5"/>
    <w:rsid w:val="5F224611"/>
    <w:rsid w:val="5F56747F"/>
    <w:rsid w:val="632A0469"/>
    <w:rsid w:val="63DA0C7D"/>
    <w:rsid w:val="6E9B6D37"/>
    <w:rsid w:val="7EB8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firstLine="420" w:firstLineChars="20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4"/>
    <w:uiPriority w:val="0"/>
    <w:rPr>
      <w:kern w:val="2"/>
      <w:sz w:val="18"/>
      <w:szCs w:val="18"/>
    </w:rPr>
  </w:style>
  <w:style w:type="paragraph" w:styleId="10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134</Words>
  <Characters>768</Characters>
  <Lines>6</Lines>
  <Paragraphs>1</Paragraphs>
  <TotalTime>0</TotalTime>
  <ScaleCrop>false</ScaleCrop>
  <LinksUpToDate>false</LinksUpToDate>
  <CharactersWithSpaces>901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2018-03-20T01:42:00Z</dcterms:created>
  <dc:creator>祝淑哲</dc:creator>
  <cp:lastModifiedBy>祝淑哲</cp:lastModifiedBy>
  <cp:lastPrinted>2018-03-20T04:55:00Z</cp:lastPrinted>
  <dcterms:modified xsi:type="dcterms:W3CDTF">2018-03-30T08:10:44Z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